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C72" w:rsidRDefault="00B24C72" w:rsidP="00B24C72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>Пожар-угроза населению и лесу</w:t>
      </w:r>
    </w:p>
    <w:p w:rsidR="00B24C72" w:rsidRDefault="00B24C72" w:rsidP="00B24C72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Уважаемые жители и гости Тихвинского района!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С наступлением теплых дней выезжая на дачу и на отдых в лес, постарайтесь не причинять себе и лесу серьезного ущерба.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Помните, что девять из десяти пожаров происходят по вине человека. В основном причина пожаров - неосторожное обращение с огнем. Пожары ежегодно уничтожают почти два миллиона гектаров российских лесов, а в отдельные годы и больше - это примерно столько же, сколько вырубается всеми леспромхозами и другими лесозаготовительными компаниями России. Будьте предельно осторожны с огнем в лесу. Никогда не оставляйте непогашенные костры, не поджигайте сухую траву. Не въезжайте в лес на мотоцикле, из глушителя которого могут сыпаться искры и привести к возгоранию. Никогда не разводите огня на торфяниках.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На дачных участках не сжигайте мусор вблизи построек и не оставляйте костер без присмотра.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Чтобы Ваша неосторожность не стала причиной пожара в лесу или населенном пункте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FF0000"/>
          <w:sz w:val="17"/>
          <w:szCs w:val="17"/>
          <w:shd w:val="clear" w:color="auto" w:fill="FFFFFF"/>
        </w:rPr>
        <w:t>ВЫПОЛНЯЙТЕ СЛЕДУЮЩИЕ ПРАВИЛА: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- не поджигайте сухую траву вблизи построек, на полях или в лесу;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- никогда не разводите костер в сухом лесу или на торфянике. Прежде всего, убедитесь, что кострище располагается на минеральной почве. Прежде чем развести костер сгребите лесную подстилку с кострища и вокруг него в радиусе одного метра;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- хорошо залейте костер перед уходом. После этого разгребите золу и убедитесь, что под ней не сохранилось тлеющих углей. Если сохранились - то залейте еще раз. Не уходите от залитого костра, пока от него идет дым или пар. О том, чем заливать костер, позаботьтесь заранее;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- 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свечами;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- не заезжайте в лес на автомобилях и особенно мотоциклах. Искры из глушителя могут вызвать пожар, особенно в сухом лесу с лишайниковым покровом;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- постарайтесь объяснить вашим друзьям и знакомым, что их неосторожность может послужить причиной пожаров.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Если вы обнаружили начинающийся пожар -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или захлестать его ветками или одеждой. Убедитесь, что трава или подстилка действительно не тлеют, иначе огонь может появиться вновь. 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Если вы не можете потушить его своими силами - постарайтесь как можно быстрее оповестить о нем тех, кто должен этим заниматься. По возможности быстрее сообщите о найденном очаге возгорания в лесхоз, лесничество, в ближайшее поселение, где есть связь с ними.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Телефоны оперативных служб: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Единая дежурно-диспетчерская служба администрации Тихвинского района – 71-135, 50-788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Единый телефон регионального пункта диспетчерского управления ЛОГКУ "Ленобллес" 90-89-111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lastRenderedPageBreak/>
        <w:t>Пожарная - 01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Полиция - 02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Скорая помощь - 03</w:t>
      </w: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B24C72" w:rsidRDefault="00B24C72" w:rsidP="00B24C72">
      <w:pPr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Газовая служба - 04</w:t>
      </w:r>
    </w:p>
    <w:p w:rsidR="00B528D6" w:rsidRPr="00B24C72" w:rsidRDefault="00B528D6" w:rsidP="00B24C72">
      <w:bookmarkStart w:id="0" w:name="_GoBack"/>
      <w:bookmarkEnd w:id="0"/>
    </w:p>
    <w:sectPr w:rsidR="00B528D6" w:rsidRPr="00B2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F78"/>
    <w:multiLevelType w:val="multilevel"/>
    <w:tmpl w:val="394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E4AA7"/>
    <w:multiLevelType w:val="multilevel"/>
    <w:tmpl w:val="48B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72AE4"/>
    <w:multiLevelType w:val="multilevel"/>
    <w:tmpl w:val="70D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11F09"/>
    <w:multiLevelType w:val="multilevel"/>
    <w:tmpl w:val="BA0E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879EB"/>
    <w:multiLevelType w:val="multilevel"/>
    <w:tmpl w:val="0C0C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64906"/>
    <w:multiLevelType w:val="multilevel"/>
    <w:tmpl w:val="6E202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20837"/>
    <w:multiLevelType w:val="multilevel"/>
    <w:tmpl w:val="B136F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267C2"/>
    <w:multiLevelType w:val="multilevel"/>
    <w:tmpl w:val="B7B6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EF"/>
    <w:rsid w:val="001E306B"/>
    <w:rsid w:val="00333132"/>
    <w:rsid w:val="00B24C72"/>
    <w:rsid w:val="00B528D6"/>
    <w:rsid w:val="00E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9DA0"/>
  <w15:chartTrackingRefBased/>
  <w15:docId w15:val="{E63F8715-C02D-4112-A764-6071415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0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balicheva.01@mail.ru</dc:creator>
  <cp:keywords/>
  <dc:description/>
  <cp:lastModifiedBy>balicheva.01@mail.ru</cp:lastModifiedBy>
  <cp:revision>2</cp:revision>
  <dcterms:created xsi:type="dcterms:W3CDTF">2025-05-22T06:11:00Z</dcterms:created>
  <dcterms:modified xsi:type="dcterms:W3CDTF">2025-05-22T06:11:00Z</dcterms:modified>
</cp:coreProperties>
</file>